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301C" w14:textId="77777777" w:rsidR="00B06BB1" w:rsidRPr="00B06BB1" w:rsidRDefault="00B06BB1" w:rsidP="00B06BB1">
      <w:pPr>
        <w:jc w:val="center"/>
        <w:rPr>
          <w:b/>
        </w:rPr>
      </w:pPr>
      <w:bookmarkStart w:id="0" w:name="_GoBack"/>
      <w:bookmarkEnd w:id="0"/>
      <w:r w:rsidRPr="00B06BB1">
        <w:rPr>
          <w:b/>
        </w:rPr>
        <w:t>TERMS OF REFERENCE</w:t>
      </w:r>
    </w:p>
    <w:p w14:paraId="54EA4D08" w14:textId="77777777" w:rsidR="00B06BB1" w:rsidRPr="00A82F1F" w:rsidRDefault="00B06BB1" w:rsidP="00B06BB1">
      <w:pPr>
        <w:spacing w:after="0" w:line="240" w:lineRule="auto"/>
        <w:rPr>
          <w:b/>
        </w:rPr>
      </w:pPr>
      <w:r w:rsidRPr="00A82F1F">
        <w:rPr>
          <w:b/>
        </w:rPr>
        <w:t xml:space="preserve">I. PROJECT </w:t>
      </w:r>
    </w:p>
    <w:p w14:paraId="3B9A01DA" w14:textId="77777777" w:rsidR="00B06BB1" w:rsidRDefault="00B06BB1" w:rsidP="00B06BB1">
      <w:pPr>
        <w:spacing w:after="0" w:line="240" w:lineRule="auto"/>
      </w:pPr>
    </w:p>
    <w:p w14:paraId="1E45DFCA" w14:textId="4261C5EE" w:rsidR="00B06BB1" w:rsidRPr="00BF0231" w:rsidRDefault="00B06BB1" w:rsidP="00B06BB1">
      <w:pPr>
        <w:spacing w:after="0" w:line="240" w:lineRule="auto"/>
        <w:ind w:firstLine="180"/>
        <w:rPr>
          <w:b/>
        </w:rPr>
      </w:pPr>
      <w:r>
        <w:t>Title</w:t>
      </w:r>
      <w:r>
        <w:tab/>
      </w:r>
      <w:r>
        <w:tab/>
        <w:t>:</w:t>
      </w:r>
      <w:r>
        <w:tab/>
      </w:r>
      <w:r w:rsidRPr="00BF0231">
        <w:rPr>
          <w:b/>
        </w:rPr>
        <w:t>S</w:t>
      </w:r>
      <w:r w:rsidR="007330BB">
        <w:rPr>
          <w:b/>
        </w:rPr>
        <w:t>EATRADE CRUISE GLOBAL (SCG) 2018</w:t>
      </w:r>
    </w:p>
    <w:p w14:paraId="79A708D1" w14:textId="4AE4DBB2" w:rsidR="00B06BB1" w:rsidRDefault="00B06BB1" w:rsidP="00B06BB1">
      <w:pPr>
        <w:spacing w:after="0" w:line="240" w:lineRule="auto"/>
        <w:ind w:firstLine="180"/>
      </w:pPr>
      <w:r>
        <w:t>Date</w:t>
      </w:r>
      <w:r>
        <w:tab/>
      </w:r>
      <w:r>
        <w:tab/>
        <w:t>:</w:t>
      </w:r>
      <w:r>
        <w:tab/>
        <w:t xml:space="preserve">March </w:t>
      </w:r>
      <w:r w:rsidR="00100B5D">
        <w:t xml:space="preserve">5-8, 2018 </w:t>
      </w:r>
    </w:p>
    <w:p w14:paraId="180A4239" w14:textId="77777777" w:rsidR="00B06BB1" w:rsidRDefault="00B06BB1" w:rsidP="00B06BB1">
      <w:pPr>
        <w:spacing w:after="0" w:line="240" w:lineRule="auto"/>
        <w:ind w:firstLine="180"/>
      </w:pPr>
      <w:r>
        <w:t>Venue</w:t>
      </w:r>
      <w:r>
        <w:tab/>
        <w:t>:</w:t>
      </w:r>
      <w:r>
        <w:tab/>
        <w:t>Fort Lauderdale Broward County Convention Center</w:t>
      </w:r>
    </w:p>
    <w:p w14:paraId="5C9B47C4" w14:textId="77777777" w:rsidR="00B06BB1" w:rsidRDefault="00B06BB1" w:rsidP="00B06BB1">
      <w:pPr>
        <w:ind w:left="1440" w:firstLine="720"/>
      </w:pPr>
      <w:r>
        <w:t>Fort Lauderdale Florida, USA</w:t>
      </w:r>
    </w:p>
    <w:p w14:paraId="4C1D19D9" w14:textId="2C3FBA86" w:rsidR="00B06BB1" w:rsidRDefault="00B06BB1" w:rsidP="00B06BB1">
      <w:pPr>
        <w:ind w:firstLine="180"/>
      </w:pPr>
      <w:r>
        <w:t>Item</w:t>
      </w:r>
      <w:r>
        <w:tab/>
      </w:r>
      <w:r>
        <w:tab/>
        <w:t>:</w:t>
      </w:r>
      <w:r>
        <w:tab/>
      </w:r>
      <w:r w:rsidR="00BE3DDE">
        <w:t xml:space="preserve">Set-up, </w:t>
      </w:r>
      <w:r>
        <w:t>Supply and Provision of Display Booth</w:t>
      </w:r>
    </w:p>
    <w:p w14:paraId="1375660A" w14:textId="77777777" w:rsidR="00B06BB1" w:rsidRPr="00A82F1F" w:rsidRDefault="00B06BB1" w:rsidP="00B06BB1">
      <w:pPr>
        <w:rPr>
          <w:b/>
        </w:rPr>
      </w:pPr>
      <w:r w:rsidRPr="00A82F1F">
        <w:rPr>
          <w:b/>
        </w:rPr>
        <w:t>II. BACKGROUND</w:t>
      </w:r>
    </w:p>
    <w:p w14:paraId="19D836B2" w14:textId="22F1A92D" w:rsidR="00B06BB1" w:rsidRDefault="00B06BB1" w:rsidP="005B6435">
      <w:pPr>
        <w:spacing w:after="0" w:line="240" w:lineRule="auto"/>
        <w:ind w:left="180"/>
        <w:jc w:val="both"/>
      </w:pPr>
      <w:r>
        <w:t xml:space="preserve">In line with the DOT’s Cruise Tourism Development Program, the Department’s Market Development Group (MDG) will participate in the </w:t>
      </w:r>
      <w:proofErr w:type="spellStart"/>
      <w:r>
        <w:t>Seatrade</w:t>
      </w:r>
      <w:proofErr w:type="spellEnd"/>
      <w:r>
        <w:t xml:space="preserve"> Cruise Global 201</w:t>
      </w:r>
      <w:r w:rsidR="00060CC9">
        <w:t>8</w:t>
      </w:r>
      <w:r>
        <w:t xml:space="preserve"> at the Fort Lauderdale Broward County Convention Center in Fort Lauderdale, Florida, on March </w:t>
      </w:r>
      <w:r w:rsidR="007330BB">
        <w:t xml:space="preserve">5-8, 2018. </w:t>
      </w:r>
    </w:p>
    <w:p w14:paraId="16B712D3" w14:textId="77777777" w:rsidR="00B06BB1" w:rsidRDefault="00B06BB1" w:rsidP="005B6435">
      <w:pPr>
        <w:spacing w:after="0" w:line="240" w:lineRule="auto"/>
        <w:ind w:left="180"/>
        <w:jc w:val="both"/>
      </w:pPr>
    </w:p>
    <w:p w14:paraId="0859D90F" w14:textId="77777777" w:rsidR="00B06BB1" w:rsidRDefault="00B06BB1" w:rsidP="005B6435">
      <w:pPr>
        <w:spacing w:after="0" w:line="240" w:lineRule="auto"/>
        <w:ind w:left="180"/>
        <w:jc w:val="both"/>
      </w:pPr>
      <w:r>
        <w:t>SCG is the cruise industry’s premier global event which has been running for more than 30 years</w:t>
      </w:r>
      <w:r w:rsidR="005B6435">
        <w:t xml:space="preserve"> </w:t>
      </w:r>
      <w:r>
        <w:t xml:space="preserve">and offering 360 degree networking opportunity with cruise planners, cruise line executives, </w:t>
      </w:r>
      <w:r w:rsidR="005B6435">
        <w:t xml:space="preserve">1000 </w:t>
      </w:r>
      <w:r>
        <w:t>exhibitors and 11,000 attendees from 125 countries. It is the only event guaranteed to bring</w:t>
      </w:r>
      <w:r w:rsidR="005B6435">
        <w:t xml:space="preserve"> </w:t>
      </w:r>
      <w:r>
        <w:t>together every facet of the business including cruise lines, suppliers, travel agents and partners.</w:t>
      </w:r>
    </w:p>
    <w:p w14:paraId="79E8D4F6" w14:textId="77777777" w:rsidR="005B6435" w:rsidRDefault="005B6435" w:rsidP="005B6435">
      <w:pPr>
        <w:spacing w:after="0" w:line="240" w:lineRule="auto"/>
        <w:ind w:left="180"/>
        <w:jc w:val="both"/>
      </w:pPr>
    </w:p>
    <w:p w14:paraId="743ECA44" w14:textId="77777777" w:rsidR="00B06BB1" w:rsidRDefault="00B06BB1" w:rsidP="005B6435">
      <w:pPr>
        <w:spacing w:after="0" w:line="240" w:lineRule="auto"/>
        <w:ind w:left="180"/>
        <w:jc w:val="both"/>
      </w:pPr>
      <w:r>
        <w:t>SCG also offers an annual conference featuring the industry's most knowledgeable speakers and the</w:t>
      </w:r>
      <w:r w:rsidR="005B6435">
        <w:t xml:space="preserve"> </w:t>
      </w:r>
      <w:r>
        <w:t>plenary session for the State of the Industry led by the heads of the four largest cruise corporations.</w:t>
      </w:r>
      <w:r w:rsidR="005B6435">
        <w:t xml:space="preserve"> </w:t>
      </w:r>
      <w:r>
        <w:t>DOT will set-up a 20 x 30 feet booth space at the SCG Show that will be shared with the Philippine</w:t>
      </w:r>
      <w:r w:rsidR="005B6435">
        <w:t xml:space="preserve"> </w:t>
      </w:r>
      <w:r>
        <w:t>travel trade partners specializing on cruise travel. Several activities will be undertaken at the</w:t>
      </w:r>
      <w:r w:rsidR="005B6435">
        <w:t xml:space="preserve"> </w:t>
      </w:r>
      <w:r>
        <w:t>Philippine booth to attract more booth visitors.</w:t>
      </w:r>
    </w:p>
    <w:p w14:paraId="27E277EF" w14:textId="77777777" w:rsidR="005B6435" w:rsidRDefault="005B6435" w:rsidP="005B6435">
      <w:pPr>
        <w:spacing w:after="0" w:line="240" w:lineRule="auto"/>
        <w:ind w:left="180"/>
        <w:jc w:val="both"/>
      </w:pPr>
    </w:p>
    <w:p w14:paraId="361FCE96" w14:textId="77777777" w:rsidR="00B06BB1" w:rsidRDefault="00B06BB1" w:rsidP="005B6435">
      <w:pPr>
        <w:spacing w:after="0" w:line="240" w:lineRule="auto"/>
        <w:ind w:left="180"/>
      </w:pPr>
      <w:r>
        <w:t>Attached is a copy of the Project Brief for reference.</w:t>
      </w:r>
    </w:p>
    <w:p w14:paraId="7D452442" w14:textId="77777777" w:rsidR="005B6435" w:rsidRDefault="005B6435" w:rsidP="005B6435">
      <w:pPr>
        <w:spacing w:after="0" w:line="240" w:lineRule="auto"/>
        <w:ind w:left="180"/>
      </w:pPr>
    </w:p>
    <w:p w14:paraId="608CFB06" w14:textId="77777777" w:rsidR="00B06BB1" w:rsidRPr="00A82F1F" w:rsidRDefault="00B06BB1" w:rsidP="00B06BB1">
      <w:pPr>
        <w:rPr>
          <w:b/>
        </w:rPr>
      </w:pPr>
      <w:r w:rsidRPr="00A82F1F">
        <w:rPr>
          <w:b/>
        </w:rPr>
        <w:t>III. PURPOSES / OBJECTIVES</w:t>
      </w:r>
    </w:p>
    <w:p w14:paraId="1B87098C" w14:textId="77777777" w:rsidR="00B06BB1" w:rsidRDefault="00B06BB1" w:rsidP="00EE0D2D">
      <w:pPr>
        <w:spacing w:after="0" w:line="240" w:lineRule="auto"/>
        <w:ind w:left="180"/>
        <w:jc w:val="both"/>
      </w:pPr>
      <w:r>
        <w:t>The Philippine DOT is in need of the services of a well-experienced company engaged in the</w:t>
      </w:r>
      <w:r w:rsidR="005B6435">
        <w:t xml:space="preserve"> </w:t>
      </w:r>
      <w:r>
        <w:t>business of exhibition and display design, and exhibition booth construction and dismantling.</w:t>
      </w:r>
      <w:r w:rsidR="005B6435">
        <w:t xml:space="preserve"> Preferably, the c</w:t>
      </w:r>
      <w:r>
        <w:t>ompany shall have previous experienced with the Philippine DOT on similar</w:t>
      </w:r>
      <w:r w:rsidR="005B6435">
        <w:t xml:space="preserve"> </w:t>
      </w:r>
      <w:r>
        <w:t>projects in the US.</w:t>
      </w:r>
    </w:p>
    <w:p w14:paraId="2685F6B5" w14:textId="77777777" w:rsidR="005B6435" w:rsidRDefault="005B6435" w:rsidP="00EE0D2D">
      <w:pPr>
        <w:spacing w:after="0" w:line="240" w:lineRule="auto"/>
        <w:ind w:left="180"/>
      </w:pPr>
    </w:p>
    <w:p w14:paraId="7C565617" w14:textId="77777777" w:rsidR="00B06BB1" w:rsidRDefault="00B06BB1" w:rsidP="00EE0D2D">
      <w:pPr>
        <w:spacing w:after="0" w:line="240" w:lineRule="auto"/>
        <w:ind w:firstLine="180"/>
      </w:pPr>
      <w:r>
        <w:t xml:space="preserve">The </w:t>
      </w:r>
      <w:r w:rsidR="005B6435">
        <w:t>set-up</w:t>
      </w:r>
      <w:r>
        <w:t xml:space="preserve"> of the aforementioned Philippine </w:t>
      </w:r>
      <w:r w:rsidR="005B6435">
        <w:t xml:space="preserve">booth </w:t>
      </w:r>
      <w:r>
        <w:t>is aimed at attaining the following objectives:</w:t>
      </w:r>
    </w:p>
    <w:p w14:paraId="1731B67B" w14:textId="77777777" w:rsidR="005B6435" w:rsidRDefault="005B6435" w:rsidP="005B6435">
      <w:pPr>
        <w:spacing w:after="0" w:line="240" w:lineRule="auto"/>
      </w:pPr>
    </w:p>
    <w:p w14:paraId="6932458D" w14:textId="77777777" w:rsidR="00B06BB1" w:rsidRDefault="00B06BB1" w:rsidP="00EE0D2D">
      <w:pPr>
        <w:tabs>
          <w:tab w:val="left" w:pos="720"/>
        </w:tabs>
        <w:spacing w:after="0" w:line="240" w:lineRule="auto"/>
        <w:ind w:left="540" w:hanging="360"/>
        <w:jc w:val="both"/>
      </w:pPr>
      <w:r>
        <w:t>1.</w:t>
      </w:r>
      <w:r w:rsidR="005B6435">
        <w:tab/>
      </w:r>
      <w:r w:rsidR="00EE0D2D">
        <w:t xml:space="preserve">To </w:t>
      </w:r>
      <w:r>
        <w:t>network with major cruise line companies and cruise planners on increasing</w:t>
      </w:r>
      <w:r w:rsidR="005B6435">
        <w:t xml:space="preserve"> </w:t>
      </w:r>
      <w:r>
        <w:t>routes to the Philippines;</w:t>
      </w:r>
    </w:p>
    <w:p w14:paraId="48A32D41" w14:textId="77777777" w:rsidR="00EE0D2D" w:rsidRDefault="00B06BB1" w:rsidP="00EE0D2D">
      <w:pPr>
        <w:tabs>
          <w:tab w:val="left" w:pos="360"/>
          <w:tab w:val="left" w:pos="540"/>
        </w:tabs>
        <w:spacing w:after="0" w:line="240" w:lineRule="auto"/>
        <w:ind w:firstLine="180"/>
        <w:jc w:val="both"/>
      </w:pPr>
      <w:r>
        <w:t>2.</w:t>
      </w:r>
      <w:r w:rsidR="005B6435">
        <w:tab/>
      </w:r>
      <w:r w:rsidR="00EE0D2D">
        <w:tab/>
      </w:r>
      <w:r>
        <w:t>To maintain an aggressive presence and reinforce destination recall in the global</w:t>
      </w:r>
      <w:r w:rsidR="00EE0D2D">
        <w:t xml:space="preserve"> </w:t>
      </w:r>
      <w:r>
        <w:t xml:space="preserve">cruise industry; </w:t>
      </w:r>
    </w:p>
    <w:p w14:paraId="370BFA32" w14:textId="77777777" w:rsidR="00B06BB1" w:rsidRDefault="00B06BB1" w:rsidP="00EE0D2D">
      <w:pPr>
        <w:tabs>
          <w:tab w:val="left" w:pos="360"/>
          <w:tab w:val="left" w:pos="540"/>
        </w:tabs>
        <w:spacing w:after="0" w:line="240" w:lineRule="auto"/>
        <w:ind w:left="540" w:hanging="360"/>
        <w:jc w:val="both"/>
      </w:pPr>
      <w:r>
        <w:t xml:space="preserve">3. </w:t>
      </w:r>
      <w:r w:rsidR="00EE0D2D">
        <w:tab/>
      </w:r>
      <w:r>
        <w:t>To sustain collaboration with other Asian countries to promote multiple</w:t>
      </w:r>
      <w:r w:rsidR="00EE0D2D">
        <w:t xml:space="preserve"> </w:t>
      </w:r>
      <w:r>
        <w:t>destinations for cruising in Asia</w:t>
      </w:r>
      <w:r w:rsidR="00EE0D2D">
        <w:t>;</w:t>
      </w:r>
    </w:p>
    <w:p w14:paraId="618A1300" w14:textId="77777777" w:rsidR="00B06BB1" w:rsidRDefault="00EE0D2D" w:rsidP="00EE0D2D">
      <w:pPr>
        <w:tabs>
          <w:tab w:val="left" w:pos="360"/>
          <w:tab w:val="left" w:pos="540"/>
        </w:tabs>
        <w:spacing w:after="0" w:line="240" w:lineRule="auto"/>
        <w:ind w:left="360" w:hanging="180"/>
        <w:jc w:val="both"/>
      </w:pPr>
      <w:r>
        <w:t xml:space="preserve">4. </w:t>
      </w:r>
      <w:r>
        <w:tab/>
      </w:r>
      <w:r w:rsidR="00B06BB1">
        <w:t>To be able to achieve the abovementioned objectives, bidders shall submit and prepare a proposed</w:t>
      </w:r>
    </w:p>
    <w:p w14:paraId="0907C1BE" w14:textId="77777777" w:rsidR="00B06BB1" w:rsidRDefault="00B06BB1" w:rsidP="00EE0D2D">
      <w:pPr>
        <w:ind w:left="360" w:firstLine="180"/>
      </w:pPr>
      <w:r>
        <w:t>design and layout for the Philippine booth</w:t>
      </w:r>
      <w:r w:rsidR="00EE0D2D">
        <w:t>;</w:t>
      </w:r>
    </w:p>
    <w:p w14:paraId="09A0483B" w14:textId="77777777" w:rsidR="00B06BB1" w:rsidRPr="00A82F1F" w:rsidRDefault="00B06BB1" w:rsidP="00B06BB1">
      <w:pPr>
        <w:rPr>
          <w:b/>
        </w:rPr>
      </w:pPr>
      <w:r w:rsidRPr="00A82F1F">
        <w:rPr>
          <w:b/>
        </w:rPr>
        <w:t>IV. SCOPE OF WORK / DELIVERABLES</w:t>
      </w:r>
    </w:p>
    <w:p w14:paraId="64FFA75E" w14:textId="77777777" w:rsidR="00B06BB1" w:rsidRDefault="00B06BB1" w:rsidP="00EE0D2D">
      <w:pPr>
        <w:ind w:firstLine="180"/>
      </w:pPr>
      <w:r>
        <w:t>Following are the services required by the Philippine Department of Tourism:</w:t>
      </w:r>
    </w:p>
    <w:p w14:paraId="3EC4BA3C" w14:textId="77777777" w:rsidR="00B06BB1" w:rsidRDefault="00B06BB1" w:rsidP="0014032F">
      <w:pPr>
        <w:tabs>
          <w:tab w:val="left" w:pos="360"/>
          <w:tab w:val="left" w:pos="540"/>
        </w:tabs>
        <w:ind w:left="180"/>
      </w:pPr>
      <w:r>
        <w:lastRenderedPageBreak/>
        <w:t xml:space="preserve">A. </w:t>
      </w:r>
      <w:r w:rsidR="00D954A3">
        <w:tab/>
      </w:r>
      <w:r>
        <w:t>Booth design</w:t>
      </w:r>
    </w:p>
    <w:p w14:paraId="1C2957A8" w14:textId="4A81E949" w:rsidR="00B06BB1" w:rsidRDefault="00B06BB1" w:rsidP="0014032F">
      <w:pPr>
        <w:spacing w:after="0" w:line="240" w:lineRule="auto"/>
        <w:ind w:left="540"/>
        <w:jc w:val="both"/>
      </w:pPr>
      <w:r>
        <w:t>The booth design shall be able to showcase the country’s offerings as a fun and unique cruise</w:t>
      </w:r>
      <w:r w:rsidR="00EE0D2D">
        <w:t xml:space="preserve"> d</w:t>
      </w:r>
      <w:r>
        <w:t>estination in Asia. It shall highlight the m</w:t>
      </w:r>
      <w:r w:rsidR="00060CC9">
        <w:t xml:space="preserve">ajor destinations for cruising specifically, </w:t>
      </w:r>
      <w:r>
        <w:t xml:space="preserve">Manila, </w:t>
      </w:r>
      <w:proofErr w:type="spellStart"/>
      <w:r w:rsidR="00EE0D2D">
        <w:t>Boracay</w:t>
      </w:r>
      <w:proofErr w:type="spellEnd"/>
      <w:r w:rsidR="00EE0D2D">
        <w:t xml:space="preserve"> and </w:t>
      </w:r>
      <w:r w:rsidR="00060CC9">
        <w:t xml:space="preserve">Puerto </w:t>
      </w:r>
      <w:proofErr w:type="spellStart"/>
      <w:r w:rsidR="00060CC9">
        <w:t>Princesa</w:t>
      </w:r>
      <w:proofErr w:type="spellEnd"/>
      <w:r w:rsidR="00060CC9">
        <w:t xml:space="preserve"> through </w:t>
      </w:r>
      <w:r w:rsidR="007330BB">
        <w:t xml:space="preserve">LED wall and </w:t>
      </w:r>
      <w:r>
        <w:t>visible graphic designs. The booth</w:t>
      </w:r>
      <w:r w:rsidR="00EE0D2D">
        <w:t xml:space="preserve"> </w:t>
      </w:r>
      <w:r>
        <w:t>shall also feature the Philippine map showing the recommended ports of call in the Philippines.</w:t>
      </w:r>
    </w:p>
    <w:p w14:paraId="791482EC" w14:textId="77777777" w:rsidR="00EE0D2D" w:rsidRDefault="00EE0D2D" w:rsidP="00D954A3">
      <w:pPr>
        <w:spacing w:after="0" w:line="240" w:lineRule="auto"/>
        <w:ind w:left="180"/>
        <w:jc w:val="both"/>
      </w:pPr>
    </w:p>
    <w:p w14:paraId="22EF8F19" w14:textId="77777777" w:rsidR="00B06BB1" w:rsidRDefault="00B06BB1" w:rsidP="0014032F">
      <w:pPr>
        <w:tabs>
          <w:tab w:val="left" w:pos="360"/>
          <w:tab w:val="left" w:pos="540"/>
        </w:tabs>
        <w:spacing w:after="0" w:line="240" w:lineRule="auto"/>
        <w:ind w:left="180"/>
        <w:jc w:val="both"/>
      </w:pPr>
      <w:r>
        <w:t xml:space="preserve">B. </w:t>
      </w:r>
      <w:r w:rsidR="00D954A3">
        <w:tab/>
      </w:r>
      <w:r>
        <w:t>Booth details</w:t>
      </w:r>
    </w:p>
    <w:p w14:paraId="5B517332" w14:textId="77777777" w:rsidR="00D954A3" w:rsidRDefault="00D954A3" w:rsidP="00D954A3">
      <w:pPr>
        <w:tabs>
          <w:tab w:val="left" w:pos="360"/>
        </w:tabs>
        <w:spacing w:after="0" w:line="240" w:lineRule="auto"/>
        <w:ind w:left="180"/>
        <w:jc w:val="both"/>
      </w:pPr>
    </w:p>
    <w:p w14:paraId="5EBD1915" w14:textId="77777777" w:rsidR="00B06BB1" w:rsidRDefault="00B06BB1" w:rsidP="0014032F">
      <w:pPr>
        <w:tabs>
          <w:tab w:val="left" w:pos="720"/>
        </w:tabs>
        <w:spacing w:after="0" w:line="240" w:lineRule="auto"/>
        <w:ind w:left="180" w:firstLine="360"/>
      </w:pPr>
      <w:r>
        <w:t xml:space="preserve">1. Booth size </w:t>
      </w:r>
      <w:r w:rsidRPr="00BE3DDE">
        <w:t xml:space="preserve">is </w:t>
      </w:r>
      <w:r w:rsidR="004D7797" w:rsidRPr="00BE3DDE">
        <w:t>30 x 2</w:t>
      </w:r>
      <w:r w:rsidRPr="00BE3DDE">
        <w:t>0 ft.</w:t>
      </w:r>
    </w:p>
    <w:p w14:paraId="17782541" w14:textId="77777777" w:rsidR="00EE0D2D" w:rsidRDefault="00B06BB1" w:rsidP="0014032F">
      <w:pPr>
        <w:tabs>
          <w:tab w:val="left" w:pos="720"/>
        </w:tabs>
        <w:spacing w:after="0" w:line="240" w:lineRule="auto"/>
        <w:ind w:left="180" w:firstLine="360"/>
      </w:pPr>
      <w:r>
        <w:t>2. Lay-out</w:t>
      </w:r>
    </w:p>
    <w:p w14:paraId="7739F44B" w14:textId="77777777" w:rsidR="00B06BB1" w:rsidRDefault="00B06BB1" w:rsidP="0014032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080" w:hanging="180"/>
      </w:pPr>
      <w:r>
        <w:t xml:space="preserve">Must have </w:t>
      </w:r>
      <w:r w:rsidR="00A77064">
        <w:t xml:space="preserve">ten </w:t>
      </w:r>
      <w:r>
        <w:t>(</w:t>
      </w:r>
      <w:r w:rsidR="00A77064">
        <w:t>10</w:t>
      </w:r>
      <w:r>
        <w:t>) individual negotiation counters for each company/exhibitor with company</w:t>
      </w:r>
    </w:p>
    <w:p w14:paraId="055DDE9B" w14:textId="77777777" w:rsidR="00B06BB1" w:rsidRDefault="00A77064" w:rsidP="0014032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80" w:firstLine="720"/>
      </w:pPr>
      <w:r>
        <w:t>S</w:t>
      </w:r>
      <w:r w:rsidR="00B06BB1">
        <w:t>ignage and a reception counter for PDOT.</w:t>
      </w:r>
    </w:p>
    <w:p w14:paraId="7D318F6F" w14:textId="77777777" w:rsidR="00B06BB1" w:rsidRDefault="00A77064" w:rsidP="0014032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80" w:firstLine="720"/>
      </w:pPr>
      <w:r>
        <w:t>Must</w:t>
      </w:r>
      <w:r w:rsidR="00B06BB1">
        <w:t xml:space="preserve"> have a hanging, distinctive banner logo of the Philippines aside from the overhead</w:t>
      </w:r>
    </w:p>
    <w:p w14:paraId="71589F31" w14:textId="77777777" w:rsidR="00B06BB1" w:rsidRDefault="0014032F" w:rsidP="0014032F">
      <w:pPr>
        <w:pStyle w:val="ListParagraph"/>
        <w:tabs>
          <w:tab w:val="left" w:pos="720"/>
          <w:tab w:val="left" w:pos="1080"/>
        </w:tabs>
        <w:spacing w:after="0" w:line="240" w:lineRule="auto"/>
        <w:ind w:left="180" w:firstLine="720"/>
      </w:pPr>
      <w:r>
        <w:tab/>
      </w:r>
      <w:r w:rsidR="00B06BB1">
        <w:t>Philippines banner.</w:t>
      </w:r>
      <w:r w:rsidR="00897962">
        <w:t xml:space="preserve"> </w:t>
      </w:r>
    </w:p>
    <w:p w14:paraId="6FDFFD07" w14:textId="77777777" w:rsidR="00B06BB1" w:rsidRDefault="00B06BB1" w:rsidP="0014032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80" w:firstLine="720"/>
      </w:pPr>
      <w:r>
        <w:t>Must have a coffee/tea station and storage area.</w:t>
      </w:r>
    </w:p>
    <w:p w14:paraId="7D75E956" w14:textId="4DAB40D6" w:rsidR="00897962" w:rsidRDefault="00B06BB1" w:rsidP="0040480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180" w:firstLine="720"/>
      </w:pPr>
      <w:r>
        <w:t>Must have a common meeting area with a table and sofa for g</w:t>
      </w:r>
      <w:r w:rsidR="00A77064">
        <w:t>roup business meetings.</w:t>
      </w:r>
    </w:p>
    <w:p w14:paraId="2F85835A" w14:textId="77777777" w:rsidR="00B06BB1" w:rsidRDefault="00B06BB1" w:rsidP="0014032F">
      <w:pPr>
        <w:tabs>
          <w:tab w:val="left" w:pos="720"/>
        </w:tabs>
        <w:spacing w:after="0" w:line="240" w:lineRule="auto"/>
        <w:ind w:left="180" w:firstLine="360"/>
      </w:pPr>
      <w:r>
        <w:t>3. Design</w:t>
      </w:r>
    </w:p>
    <w:p w14:paraId="300CD7F5" w14:textId="329CE714" w:rsidR="00B06BB1" w:rsidRDefault="00B06BB1" w:rsidP="0014032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180"/>
      </w:pPr>
      <w:r>
        <w:t xml:space="preserve">Design </w:t>
      </w:r>
      <w:r w:rsidR="0040480D">
        <w:t xml:space="preserve">should project a message “Cruising, More Fun I the Philippines” adhering to the mother brand campaign. </w:t>
      </w:r>
      <w:r>
        <w:t>“It’s More Fun in the Philippines</w:t>
      </w:r>
      <w:r w:rsidR="0040480D">
        <w:t>.</w:t>
      </w:r>
      <w:r>
        <w:t xml:space="preserve">” </w:t>
      </w:r>
    </w:p>
    <w:p w14:paraId="77C597AF" w14:textId="77777777" w:rsidR="00A90F46" w:rsidRDefault="00B06BB1" w:rsidP="0014032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180"/>
      </w:pPr>
      <w:r>
        <w:t xml:space="preserve">Booth design shall be reflective of the </w:t>
      </w:r>
      <w:r w:rsidR="00A90F46">
        <w:t xml:space="preserve">cruise offerings of the Philippines including possible activities and attractions for shore excursion programs </w:t>
      </w:r>
    </w:p>
    <w:p w14:paraId="725911ED" w14:textId="77777777" w:rsidR="00B06BB1" w:rsidRDefault="00B06BB1" w:rsidP="0014032F">
      <w:pPr>
        <w:tabs>
          <w:tab w:val="left" w:pos="540"/>
          <w:tab w:val="left" w:pos="720"/>
        </w:tabs>
        <w:spacing w:after="0" w:line="240" w:lineRule="auto"/>
        <w:ind w:left="180" w:firstLine="360"/>
      </w:pPr>
      <w:r>
        <w:t>4. Other features</w:t>
      </w:r>
    </w:p>
    <w:p w14:paraId="5E11ACF4" w14:textId="77777777" w:rsidR="00B06BB1" w:rsidRPr="00BE3DDE" w:rsidRDefault="00A90F46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 xml:space="preserve">Ten (10) </w:t>
      </w:r>
      <w:r w:rsidR="00B06BB1" w:rsidRPr="00BE3DDE">
        <w:t>negotiating tables with individual storage</w:t>
      </w:r>
    </w:p>
    <w:p w14:paraId="6724F038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One (1) rounded hanging banner with Philippine logo</w:t>
      </w:r>
    </w:p>
    <w:p w14:paraId="0F207D8C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Design and production of full-color graphics and destination images</w:t>
      </w:r>
    </w:p>
    <w:p w14:paraId="6C7D183B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Four (4) ASEAN Cruise Flags</w:t>
      </w:r>
    </w:p>
    <w:p w14:paraId="16178E5D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Name and logo of each participating company</w:t>
      </w:r>
    </w:p>
    <w:p w14:paraId="20BD543D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Individual power outlet for each negotiating table and at the meeting area</w:t>
      </w:r>
    </w:p>
    <w:p w14:paraId="1A556275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Lightings and back lighting for the backdrop</w:t>
      </w:r>
    </w:p>
    <w:p w14:paraId="58AEE21E" w14:textId="77777777" w:rsidR="00B06BB1" w:rsidRPr="00BE3DDE" w:rsidRDefault="00B06BB1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Potted plants and hanging plants at the booth with flower arrangements for the tables</w:t>
      </w:r>
    </w:p>
    <w:p w14:paraId="60E8E03C" w14:textId="77777777" w:rsidR="00A77064" w:rsidRPr="00BE3DDE" w:rsidRDefault="00897962" w:rsidP="0014032F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80" w:firstLine="720"/>
      </w:pPr>
      <w:r w:rsidRPr="00BE3DDE">
        <w:t>TV/LE</w:t>
      </w:r>
      <w:r w:rsidR="00A77064" w:rsidRPr="00BE3DDE">
        <w:t xml:space="preserve">D </w:t>
      </w:r>
    </w:p>
    <w:p w14:paraId="60EF4259" w14:textId="7378FBAA" w:rsidR="00B06BB1" w:rsidRPr="00BE3DDE" w:rsidRDefault="00B06BB1" w:rsidP="0014032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80" w:firstLine="720"/>
      </w:pPr>
      <w:r w:rsidRPr="00BE3DDE">
        <w:t xml:space="preserve">Flooring material </w:t>
      </w:r>
    </w:p>
    <w:p w14:paraId="55D14764" w14:textId="77777777" w:rsidR="00B06BB1" w:rsidRPr="00BE3DDE" w:rsidRDefault="00B06BB1" w:rsidP="0014032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80" w:firstLine="720"/>
      </w:pPr>
      <w:r w:rsidRPr="00BE3DDE">
        <w:t>Cost package must include all labor, insurance and permits</w:t>
      </w:r>
    </w:p>
    <w:p w14:paraId="58ACB938" w14:textId="77777777" w:rsidR="00B06BB1" w:rsidRPr="00BE3DDE" w:rsidRDefault="00B06BB1" w:rsidP="0014032F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80" w:firstLine="720"/>
      </w:pPr>
      <w:r w:rsidRPr="00BE3DDE">
        <w:t>On-site supervision</w:t>
      </w:r>
    </w:p>
    <w:p w14:paraId="754A76C7" w14:textId="77777777" w:rsidR="00B06BB1" w:rsidRPr="00BE3DDE" w:rsidRDefault="00B06BB1" w:rsidP="0014032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180"/>
      </w:pPr>
      <w:r w:rsidRPr="00BE3DDE">
        <w:t>Caveat - All proceedings in relation to this project will be subject to the budget, accounting and</w:t>
      </w:r>
      <w:r w:rsidR="00A90F46" w:rsidRPr="00BE3DDE">
        <w:t xml:space="preserve"> </w:t>
      </w:r>
      <w:r w:rsidRPr="00BE3DDE">
        <w:t>audit rules of the Republic of the Philippines</w:t>
      </w:r>
    </w:p>
    <w:p w14:paraId="44BB9D8A" w14:textId="77777777" w:rsidR="00D954A3" w:rsidRPr="00BE3DDE" w:rsidRDefault="00D954A3" w:rsidP="0014032F">
      <w:pPr>
        <w:pStyle w:val="ListParagraph"/>
        <w:tabs>
          <w:tab w:val="left" w:pos="1260"/>
        </w:tabs>
        <w:spacing w:after="0" w:line="240" w:lineRule="auto"/>
        <w:ind w:left="180" w:firstLine="720"/>
      </w:pPr>
    </w:p>
    <w:p w14:paraId="6C978AAD" w14:textId="77777777" w:rsidR="00B06BB1" w:rsidRDefault="00B06BB1" w:rsidP="0014032F">
      <w:pPr>
        <w:tabs>
          <w:tab w:val="left" w:pos="540"/>
        </w:tabs>
        <w:spacing w:after="0" w:line="240" w:lineRule="auto"/>
        <w:ind w:left="540" w:hanging="360"/>
      </w:pPr>
      <w:r>
        <w:t xml:space="preserve">C. </w:t>
      </w:r>
      <w:r w:rsidR="00D954A3">
        <w:tab/>
        <w:t>Set-up</w:t>
      </w:r>
      <w:r>
        <w:t xml:space="preserve">, installation and dismantling of the Philippine booth must conform </w:t>
      </w:r>
      <w:r w:rsidR="00A90F46">
        <w:t>with t</w:t>
      </w:r>
      <w:r>
        <w:t>he</w:t>
      </w:r>
      <w:r w:rsidR="00A90F46">
        <w:t xml:space="preserve"> </w:t>
      </w:r>
      <w:r>
        <w:t>schedule, rules and regulations set by the SCG organizer.</w:t>
      </w:r>
    </w:p>
    <w:p w14:paraId="0CAFFCFF" w14:textId="77777777" w:rsidR="00A90F46" w:rsidRDefault="00A90F46" w:rsidP="00D954A3">
      <w:pPr>
        <w:spacing w:after="0" w:line="240" w:lineRule="auto"/>
        <w:ind w:left="180"/>
      </w:pPr>
    </w:p>
    <w:p w14:paraId="568976B6" w14:textId="77777777" w:rsidR="00B06BB1" w:rsidRDefault="00B06BB1" w:rsidP="0014032F">
      <w:pPr>
        <w:tabs>
          <w:tab w:val="left" w:pos="540"/>
        </w:tabs>
        <w:spacing w:after="0" w:line="240" w:lineRule="auto"/>
        <w:ind w:left="540" w:hanging="360"/>
        <w:jc w:val="both"/>
      </w:pPr>
      <w:r>
        <w:t xml:space="preserve">D. </w:t>
      </w:r>
      <w:r w:rsidR="00D954A3">
        <w:tab/>
      </w:r>
      <w:r>
        <w:t>Installation and dismantling of the hanging banner with Philippine logo must be included in the</w:t>
      </w:r>
      <w:r w:rsidR="00A90F46">
        <w:t xml:space="preserve"> </w:t>
      </w:r>
      <w:r>
        <w:t>proposal.</w:t>
      </w:r>
    </w:p>
    <w:p w14:paraId="729C072B" w14:textId="77777777" w:rsidR="00A90F46" w:rsidRDefault="00A90F46" w:rsidP="00D954A3">
      <w:pPr>
        <w:spacing w:after="0" w:line="240" w:lineRule="auto"/>
        <w:ind w:left="180"/>
        <w:jc w:val="both"/>
      </w:pPr>
    </w:p>
    <w:p w14:paraId="66CC01C4" w14:textId="77777777" w:rsidR="00B06BB1" w:rsidRDefault="00B06BB1" w:rsidP="0014032F">
      <w:pPr>
        <w:tabs>
          <w:tab w:val="left" w:pos="540"/>
        </w:tabs>
        <w:spacing w:after="0" w:line="240" w:lineRule="auto"/>
        <w:ind w:left="540" w:hanging="360"/>
      </w:pPr>
      <w:r>
        <w:t xml:space="preserve">E. </w:t>
      </w:r>
      <w:r w:rsidR="00D954A3">
        <w:tab/>
      </w:r>
      <w:r>
        <w:t xml:space="preserve">Transport and delivery of exhibit materials and other services related to booth </w:t>
      </w:r>
      <w:r w:rsidR="00D954A3">
        <w:t>set-up</w:t>
      </w:r>
      <w:r>
        <w:t>,</w:t>
      </w:r>
      <w:r w:rsidR="00D954A3">
        <w:t xml:space="preserve"> </w:t>
      </w:r>
      <w:r>
        <w:t>Installation and dismantling must be included in the contract.</w:t>
      </w:r>
    </w:p>
    <w:p w14:paraId="3B6CB3DD" w14:textId="77777777" w:rsidR="00D954A3" w:rsidRDefault="00D954A3" w:rsidP="00D954A3">
      <w:pPr>
        <w:spacing w:after="0" w:line="240" w:lineRule="auto"/>
        <w:ind w:left="270" w:hanging="270"/>
      </w:pPr>
    </w:p>
    <w:p w14:paraId="543D0232" w14:textId="77777777" w:rsidR="00D954A3" w:rsidRDefault="00D954A3" w:rsidP="00D954A3">
      <w:pPr>
        <w:spacing w:after="0" w:line="240" w:lineRule="auto"/>
        <w:ind w:left="270" w:hanging="270"/>
      </w:pPr>
    </w:p>
    <w:p w14:paraId="438A1AFF" w14:textId="77777777" w:rsidR="00B06BB1" w:rsidRPr="00A82F1F" w:rsidRDefault="00D954A3" w:rsidP="00D954A3">
      <w:pPr>
        <w:tabs>
          <w:tab w:val="left" w:pos="360"/>
        </w:tabs>
        <w:spacing w:after="0" w:line="240" w:lineRule="auto"/>
        <w:rPr>
          <w:b/>
        </w:rPr>
      </w:pPr>
      <w:r w:rsidRPr="00A82F1F">
        <w:rPr>
          <w:b/>
        </w:rPr>
        <w:t>V</w:t>
      </w:r>
      <w:r w:rsidR="00B06BB1" w:rsidRPr="00A82F1F">
        <w:rPr>
          <w:b/>
        </w:rPr>
        <w:t>.</w:t>
      </w:r>
      <w:r w:rsidRPr="00A82F1F">
        <w:rPr>
          <w:b/>
        </w:rPr>
        <w:tab/>
      </w:r>
      <w:r w:rsidR="00B06BB1" w:rsidRPr="00A82F1F">
        <w:rPr>
          <w:b/>
        </w:rPr>
        <w:t xml:space="preserve"> TIME FRAME AND SCHEDULE OF WORK</w:t>
      </w:r>
    </w:p>
    <w:p w14:paraId="243A7285" w14:textId="77777777" w:rsidR="00D954A3" w:rsidRDefault="00D954A3" w:rsidP="00D954A3">
      <w:pPr>
        <w:spacing w:after="0" w:line="240" w:lineRule="auto"/>
      </w:pPr>
    </w:p>
    <w:p w14:paraId="71480F89" w14:textId="77777777" w:rsidR="00B06BB1" w:rsidRDefault="00B06BB1" w:rsidP="00D954A3">
      <w:pPr>
        <w:spacing w:after="0" w:line="240" w:lineRule="auto"/>
        <w:ind w:firstLine="360"/>
      </w:pPr>
      <w:r>
        <w:t>Schedule: All interested parties to submit working design drawings and cost schedules within</w:t>
      </w:r>
    </w:p>
    <w:p w14:paraId="7488F5F3" w14:textId="77777777" w:rsidR="00B06BB1" w:rsidRDefault="00B06BB1" w:rsidP="00D954A3">
      <w:pPr>
        <w:pStyle w:val="ListParagraph"/>
        <w:spacing w:after="0" w:line="240" w:lineRule="auto"/>
        <w:ind w:left="360"/>
      </w:pPr>
      <w:r>
        <w:t>six (6) days of their receipt of this document.</w:t>
      </w:r>
    </w:p>
    <w:p w14:paraId="45505CCB" w14:textId="77777777" w:rsidR="00D954A3" w:rsidRDefault="00D954A3" w:rsidP="00D954A3">
      <w:pPr>
        <w:pStyle w:val="ListParagraph"/>
        <w:spacing w:after="0" w:line="240" w:lineRule="auto"/>
      </w:pPr>
    </w:p>
    <w:p w14:paraId="3704B8C7" w14:textId="16AAA7BB" w:rsidR="00B06BB1" w:rsidRDefault="00B06BB1" w:rsidP="00D954A3">
      <w:pPr>
        <w:spacing w:after="0" w:line="240" w:lineRule="auto"/>
        <w:ind w:firstLine="360"/>
      </w:pPr>
      <w:r>
        <w:t xml:space="preserve">March </w:t>
      </w:r>
      <w:r w:rsidR="0040480D">
        <w:t>5-6, 2018</w:t>
      </w:r>
      <w:r>
        <w:t xml:space="preserve"> Booth setup/construction and turnover</w:t>
      </w:r>
    </w:p>
    <w:p w14:paraId="4B318CC0" w14:textId="2962A8F4" w:rsidR="00B06BB1" w:rsidRDefault="00B06BB1" w:rsidP="00D954A3">
      <w:pPr>
        <w:spacing w:after="0" w:line="240" w:lineRule="auto"/>
        <w:ind w:firstLine="360"/>
      </w:pPr>
      <w:r>
        <w:t xml:space="preserve">March </w:t>
      </w:r>
      <w:r w:rsidR="00BF0231">
        <w:t>5-8</w:t>
      </w:r>
      <w:r>
        <w:t>, 201</w:t>
      </w:r>
      <w:r w:rsidR="00BF0231">
        <w:t>8</w:t>
      </w:r>
      <w:r>
        <w:t xml:space="preserve"> Exhibition Proper</w:t>
      </w:r>
    </w:p>
    <w:p w14:paraId="46F16F27" w14:textId="02B89F60" w:rsidR="00B06BB1" w:rsidRDefault="00B06BB1" w:rsidP="00D954A3">
      <w:pPr>
        <w:spacing w:after="0" w:line="240" w:lineRule="auto"/>
        <w:ind w:firstLine="360"/>
      </w:pPr>
      <w:r>
        <w:t xml:space="preserve">March </w:t>
      </w:r>
      <w:r w:rsidR="00BF0231">
        <w:t>8-9, 2018</w:t>
      </w:r>
      <w:r>
        <w:t xml:space="preserve"> Egress/Booth dismantling</w:t>
      </w:r>
    </w:p>
    <w:p w14:paraId="3741F6FF" w14:textId="77777777" w:rsidR="00D954A3" w:rsidRDefault="00D954A3" w:rsidP="00D954A3">
      <w:pPr>
        <w:spacing w:after="0" w:line="240" w:lineRule="auto"/>
        <w:ind w:firstLine="360"/>
      </w:pPr>
    </w:p>
    <w:p w14:paraId="78AD6794" w14:textId="77777777" w:rsidR="00B06BB1" w:rsidRPr="00A82F1F" w:rsidRDefault="00B06BB1" w:rsidP="00EE0D2D">
      <w:pPr>
        <w:spacing w:after="0" w:line="240" w:lineRule="auto"/>
        <w:rPr>
          <w:b/>
        </w:rPr>
      </w:pPr>
      <w:r w:rsidRPr="00A82F1F">
        <w:rPr>
          <w:b/>
        </w:rPr>
        <w:t>VI. BUDGET</w:t>
      </w:r>
    </w:p>
    <w:p w14:paraId="2F6B9BE4" w14:textId="74477127" w:rsidR="00B06BB1" w:rsidRDefault="00B06BB1" w:rsidP="0014032F">
      <w:pPr>
        <w:spacing w:after="0" w:line="240" w:lineRule="auto"/>
        <w:ind w:firstLine="360"/>
      </w:pPr>
      <w:r>
        <w:t>Total budget allocation for</w:t>
      </w:r>
      <w:r w:rsidR="00BF0231">
        <w:t xml:space="preserve"> the Philippine Pavilion is Php3,500,000.00</w:t>
      </w:r>
      <w:r>
        <w:t xml:space="preserve"> or its US Dollar equivalent</w:t>
      </w:r>
    </w:p>
    <w:p w14:paraId="4E484EDF" w14:textId="77777777" w:rsidR="00B06BB1" w:rsidRDefault="00B06BB1" w:rsidP="0014032F">
      <w:pPr>
        <w:spacing w:after="0" w:line="240" w:lineRule="auto"/>
        <w:ind w:left="360"/>
      </w:pPr>
      <w:r>
        <w:t>upon remittance.</w:t>
      </w:r>
    </w:p>
    <w:p w14:paraId="4706A112" w14:textId="77777777" w:rsidR="0014032F" w:rsidRDefault="0014032F" w:rsidP="0014032F">
      <w:pPr>
        <w:spacing w:after="0" w:line="240" w:lineRule="auto"/>
        <w:ind w:left="360"/>
      </w:pPr>
    </w:p>
    <w:p w14:paraId="645E0422" w14:textId="77777777" w:rsidR="00B06BB1" w:rsidRPr="00A82F1F" w:rsidRDefault="00B06BB1" w:rsidP="00EE0D2D">
      <w:pPr>
        <w:spacing w:after="0" w:line="240" w:lineRule="auto"/>
        <w:rPr>
          <w:b/>
        </w:rPr>
      </w:pPr>
      <w:r w:rsidRPr="00A82F1F">
        <w:rPr>
          <w:b/>
        </w:rPr>
        <w:t>VII. PAYMENT PROCEDURE</w:t>
      </w:r>
    </w:p>
    <w:p w14:paraId="05D168F8" w14:textId="1BAB760C" w:rsidR="00B06BB1" w:rsidRDefault="007330BB" w:rsidP="0014032F">
      <w:pPr>
        <w:spacing w:after="0" w:line="240" w:lineRule="auto"/>
        <w:ind w:left="360"/>
        <w:jc w:val="both"/>
      </w:pPr>
      <w:r>
        <w:t xml:space="preserve">Full payment shall be made after the full completion </w:t>
      </w:r>
      <w:r w:rsidR="00B06BB1">
        <w:t>of the Philippine booth in</w:t>
      </w:r>
      <w:r w:rsidR="0014032F">
        <w:t xml:space="preserve"> </w:t>
      </w:r>
      <w:r w:rsidR="00B06BB1">
        <w:t>compliance with the Philippine Government accounting and auditing rules and regulations.</w:t>
      </w:r>
      <w:r>
        <w:t xml:space="preserve"> (PDOT New York can also devise its own payment terms based on the existing or acceptable payment scheme in NY. </w:t>
      </w:r>
    </w:p>
    <w:p w14:paraId="4DB492B0" w14:textId="77777777" w:rsidR="0014032F" w:rsidRDefault="0014032F" w:rsidP="0014032F">
      <w:pPr>
        <w:spacing w:after="0" w:line="240" w:lineRule="auto"/>
        <w:jc w:val="both"/>
      </w:pPr>
    </w:p>
    <w:p w14:paraId="236C444E" w14:textId="77777777" w:rsidR="00B06BB1" w:rsidRPr="00A82F1F" w:rsidRDefault="00B06BB1" w:rsidP="0014032F">
      <w:pPr>
        <w:spacing w:after="0" w:line="240" w:lineRule="auto"/>
        <w:jc w:val="both"/>
        <w:rPr>
          <w:b/>
        </w:rPr>
      </w:pPr>
      <w:r w:rsidRPr="00A82F1F">
        <w:rPr>
          <w:b/>
        </w:rPr>
        <w:t>VIII. EVALUATION PROCEDURE</w:t>
      </w:r>
    </w:p>
    <w:p w14:paraId="0B851A10" w14:textId="73CCEC69" w:rsidR="00B06BB1" w:rsidRDefault="00B06BB1" w:rsidP="0014032F">
      <w:pPr>
        <w:spacing w:after="0" w:line="240" w:lineRule="auto"/>
        <w:ind w:left="360"/>
        <w:jc w:val="both"/>
      </w:pPr>
      <w:r>
        <w:t>The winning bidder shall be selected not solely based on the amount of bid but the Philippine</w:t>
      </w:r>
      <w:r w:rsidR="0014032F">
        <w:t xml:space="preserve"> </w:t>
      </w:r>
      <w:r>
        <w:t xml:space="preserve">Department of Tourism Bids and Awards Committee (PDOT-BAC) </w:t>
      </w:r>
      <w:r w:rsidR="00BF0231">
        <w:t xml:space="preserve">or through DOT New York Office </w:t>
      </w:r>
      <w:r>
        <w:t>shall also consider the overall</w:t>
      </w:r>
      <w:r w:rsidR="0014032F">
        <w:t xml:space="preserve"> </w:t>
      </w:r>
      <w:r>
        <w:t>design of the booth based on this Terms of Reference (TOR).</w:t>
      </w:r>
    </w:p>
    <w:p w14:paraId="0C45945C" w14:textId="77777777" w:rsidR="0014032F" w:rsidRDefault="0014032F" w:rsidP="00EE0D2D">
      <w:pPr>
        <w:spacing w:after="0" w:line="240" w:lineRule="auto"/>
      </w:pPr>
    </w:p>
    <w:p w14:paraId="645937E8" w14:textId="77777777" w:rsidR="00B06BB1" w:rsidRDefault="00B06BB1" w:rsidP="0014032F">
      <w:pPr>
        <w:spacing w:after="0" w:line="240" w:lineRule="auto"/>
        <w:ind w:left="360"/>
        <w:jc w:val="both"/>
      </w:pPr>
      <w:r>
        <w:t>The Lowest Calculated Bid (LCB) shall be post-qualified by the PD</w:t>
      </w:r>
      <w:r w:rsidR="0014032F">
        <w:t xml:space="preserve">OT-BAC to determine whether the </w:t>
      </w:r>
      <w:r>
        <w:t>concerned bidder complies with and is responsive to all the requirements and conditions as</w:t>
      </w:r>
      <w:r w:rsidR="0014032F">
        <w:t xml:space="preserve"> </w:t>
      </w:r>
      <w:r>
        <w:t xml:space="preserve">specified in the bidding documents. If determined upon post qualification that </w:t>
      </w:r>
      <w:r w:rsidR="0014032F">
        <w:t xml:space="preserve">the bidder with the </w:t>
      </w:r>
      <w:r>
        <w:t>LCB fails the other terms and conditions in these bidding docume</w:t>
      </w:r>
      <w:r w:rsidR="0014032F">
        <w:t xml:space="preserve">nts including the design of the </w:t>
      </w:r>
      <w:r>
        <w:t>booth, the PDOT-BAC shall consider the bidder with the second L</w:t>
      </w:r>
      <w:r w:rsidR="0014032F">
        <w:t xml:space="preserve">CB, and so on, to determine the </w:t>
      </w:r>
      <w:r>
        <w:t>Lowest Calculated and Responsive Bid (LCRB) for this bidding.</w:t>
      </w:r>
    </w:p>
    <w:p w14:paraId="4DC298BF" w14:textId="77777777" w:rsidR="0014032F" w:rsidRDefault="0014032F" w:rsidP="0014032F">
      <w:pPr>
        <w:spacing w:after="0" w:line="240" w:lineRule="auto"/>
        <w:ind w:left="360"/>
        <w:jc w:val="both"/>
      </w:pPr>
    </w:p>
    <w:p w14:paraId="3D6AAC95" w14:textId="77777777" w:rsidR="00B06BB1" w:rsidRPr="00A82F1F" w:rsidRDefault="00B06BB1" w:rsidP="0014032F">
      <w:pPr>
        <w:spacing w:after="0" w:line="240" w:lineRule="auto"/>
        <w:jc w:val="both"/>
        <w:rPr>
          <w:b/>
        </w:rPr>
      </w:pPr>
      <w:r w:rsidRPr="00A82F1F">
        <w:rPr>
          <w:b/>
        </w:rPr>
        <w:t>IX. CONTACT PERSONS</w:t>
      </w:r>
    </w:p>
    <w:p w14:paraId="406B97C3" w14:textId="77777777" w:rsidR="0014032F" w:rsidRDefault="0014032F" w:rsidP="00EE0D2D">
      <w:pPr>
        <w:spacing w:after="0" w:line="240" w:lineRule="auto"/>
      </w:pPr>
    </w:p>
    <w:p w14:paraId="7AA9E030" w14:textId="60BD0A02" w:rsidR="00B06BB1" w:rsidRDefault="00B06BB1" w:rsidP="0014032F">
      <w:pPr>
        <w:spacing w:after="0" w:line="240" w:lineRule="auto"/>
        <w:ind w:firstLine="450"/>
      </w:pPr>
      <w:r>
        <w:t>M</w:t>
      </w:r>
      <w:r w:rsidR="00BF0231">
        <w:t xml:space="preserve">s. Jing </w:t>
      </w:r>
      <w:proofErr w:type="spellStart"/>
      <w:r w:rsidR="00BF0231">
        <w:t>Esmaña</w:t>
      </w:r>
      <w:proofErr w:type="spellEnd"/>
      <w:r w:rsidR="00BF0231">
        <w:t xml:space="preserve"> </w:t>
      </w:r>
      <w:r w:rsidR="0014032F">
        <w:t xml:space="preserve">/ </w:t>
      </w:r>
      <w:r>
        <w:t xml:space="preserve">Ms. </w:t>
      </w:r>
      <w:r w:rsidR="00BF0231">
        <w:t xml:space="preserve">Susan Del </w:t>
      </w:r>
      <w:proofErr w:type="spellStart"/>
      <w:r w:rsidR="00BF0231">
        <w:t>Mundo</w:t>
      </w:r>
      <w:proofErr w:type="spellEnd"/>
      <w:r w:rsidR="00BF0231">
        <w:t xml:space="preserve"> </w:t>
      </w:r>
    </w:p>
    <w:p w14:paraId="620A9529" w14:textId="3D47C238" w:rsidR="00B06BB1" w:rsidRDefault="00BF0231" w:rsidP="0014032F">
      <w:pPr>
        <w:spacing w:after="0" w:line="240" w:lineRule="auto"/>
        <w:ind w:firstLine="450"/>
      </w:pPr>
      <w:r>
        <w:t xml:space="preserve">Office of Product and </w:t>
      </w:r>
      <w:r w:rsidR="00B06BB1">
        <w:t>Market Development</w:t>
      </w:r>
      <w:r w:rsidR="00A82F1F">
        <w:t>/</w:t>
      </w:r>
      <w:r w:rsidR="00B06BB1">
        <w:t xml:space="preserve"> </w:t>
      </w:r>
      <w:proofErr w:type="spellStart"/>
      <w:r>
        <w:t>Attache</w:t>
      </w:r>
      <w:proofErr w:type="spellEnd"/>
      <w:r>
        <w:t xml:space="preserve">, </w:t>
      </w:r>
      <w:r w:rsidR="00B06BB1">
        <w:t>PDOT – New York</w:t>
      </w:r>
    </w:p>
    <w:p w14:paraId="4B092C52" w14:textId="44D78375" w:rsidR="0093219B" w:rsidRDefault="00B06BB1" w:rsidP="0014032F">
      <w:pPr>
        <w:spacing w:after="0" w:line="240" w:lineRule="auto"/>
        <w:ind w:firstLine="450"/>
      </w:pPr>
      <w:r>
        <w:t xml:space="preserve">Email: </w:t>
      </w:r>
      <w:r w:rsidR="00BF0231" w:rsidRPr="00BF0231">
        <w:t xml:space="preserve">jingesmana.dot@gmail.com </w:t>
      </w:r>
      <w:r w:rsidR="00BF0231">
        <w:t>/</w:t>
      </w:r>
      <w:r w:rsidR="00A82F1F">
        <w:t xml:space="preserve"> </w:t>
      </w:r>
      <w:r w:rsidR="00BF0231">
        <w:t>susan.pdotnewyork@gmail.com</w:t>
      </w:r>
    </w:p>
    <w:p w14:paraId="39F62B3E" w14:textId="77777777" w:rsidR="00A82F1F" w:rsidRDefault="00A82F1F" w:rsidP="0014032F">
      <w:pPr>
        <w:spacing w:after="0" w:line="240" w:lineRule="auto"/>
        <w:ind w:firstLine="450"/>
      </w:pPr>
    </w:p>
    <w:sectPr w:rsidR="00A8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F33"/>
    <w:multiLevelType w:val="hybridMultilevel"/>
    <w:tmpl w:val="74848CAE"/>
    <w:lvl w:ilvl="0" w:tplc="3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43F1392"/>
    <w:multiLevelType w:val="hybridMultilevel"/>
    <w:tmpl w:val="E892C5F8"/>
    <w:lvl w:ilvl="0" w:tplc="3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473615"/>
    <w:multiLevelType w:val="hybridMultilevel"/>
    <w:tmpl w:val="D7DCC39C"/>
    <w:lvl w:ilvl="0" w:tplc="0AB2C1AE">
      <w:numFmt w:val="bullet"/>
      <w:lvlText w:val="•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AB7876"/>
    <w:multiLevelType w:val="hybridMultilevel"/>
    <w:tmpl w:val="2FA2BC12"/>
    <w:lvl w:ilvl="0" w:tplc="3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BC724A"/>
    <w:multiLevelType w:val="hybridMultilevel"/>
    <w:tmpl w:val="E96465AE"/>
    <w:lvl w:ilvl="0" w:tplc="3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2D380B7C">
      <w:start w:val="5"/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7267F2"/>
    <w:multiLevelType w:val="hybridMultilevel"/>
    <w:tmpl w:val="EED608F6"/>
    <w:lvl w:ilvl="0" w:tplc="3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B1"/>
    <w:rsid w:val="00060CC9"/>
    <w:rsid w:val="00096D59"/>
    <w:rsid w:val="00100B5D"/>
    <w:rsid w:val="0014032F"/>
    <w:rsid w:val="00282AB0"/>
    <w:rsid w:val="0040480D"/>
    <w:rsid w:val="004A3D91"/>
    <w:rsid w:val="004D7797"/>
    <w:rsid w:val="00594F49"/>
    <w:rsid w:val="005B6435"/>
    <w:rsid w:val="006E0FE2"/>
    <w:rsid w:val="007330BB"/>
    <w:rsid w:val="00897962"/>
    <w:rsid w:val="00A77064"/>
    <w:rsid w:val="00A82F1F"/>
    <w:rsid w:val="00A90F46"/>
    <w:rsid w:val="00B06BB1"/>
    <w:rsid w:val="00BE3DDE"/>
    <w:rsid w:val="00BF0231"/>
    <w:rsid w:val="00D954A3"/>
    <w:rsid w:val="00E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27B2"/>
  <w15:chartTrackingRefBased/>
  <w15:docId w15:val="{D879640E-1DA0-47C5-9B7A-869AB84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Joey Chanco</cp:lastModifiedBy>
  <cp:revision>2</cp:revision>
  <dcterms:created xsi:type="dcterms:W3CDTF">2018-01-23T21:55:00Z</dcterms:created>
  <dcterms:modified xsi:type="dcterms:W3CDTF">2018-01-23T21:55:00Z</dcterms:modified>
</cp:coreProperties>
</file>